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0" w:type="dxa"/>
        <w:tblLook w:val="04A0" w:firstRow="1" w:lastRow="0" w:firstColumn="1" w:lastColumn="0" w:noHBand="0" w:noVBand="1"/>
      </w:tblPr>
      <w:tblGrid>
        <w:gridCol w:w="960"/>
        <w:gridCol w:w="1311"/>
        <w:gridCol w:w="1490"/>
        <w:gridCol w:w="1014"/>
        <w:gridCol w:w="1532"/>
        <w:gridCol w:w="942"/>
        <w:gridCol w:w="343"/>
        <w:gridCol w:w="271"/>
        <w:gridCol w:w="271"/>
        <w:gridCol w:w="628"/>
      </w:tblGrid>
      <w:tr w:rsidR="00E558A3" w:rsidRPr="00E558A3" w:rsidTr="00E558A3">
        <w:trPr>
          <w:trHeight w:val="315"/>
        </w:trPr>
        <w:tc>
          <w:tcPr>
            <w:tcW w:w="81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bookmarkStart w:id="0" w:name="_GoBack"/>
            <w:r w:rsidRPr="00E558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Lista autorizațiilor de construire emise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E558A3" w:rsidRPr="00E558A3" w:rsidTr="00E558A3">
        <w:trPr>
          <w:trHeight w:val="3409"/>
        </w:trPr>
        <w:tc>
          <w:tcPr>
            <w:tcW w:w="8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58A3" w:rsidRPr="00E558A3" w:rsidRDefault="00E558A3" w:rsidP="00E5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Extras din: Norme Metodologice din 12 octombrie 2009 de aplicare a Legii nr. 50/1991 privind autorizarea executării lucrărilor de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construcţii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(la data 23-nov-2009 actul a fost aprobat de Ordinul 839/2009 )</w:t>
            </w: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br/>
              <w:t>Art. 55: Asigurarea caracterului public</w:t>
            </w: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br/>
              <w:t xml:space="preserve">(1)În temeiul prevederilor art. 7 alin. (21) din Lege,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autorizaţiile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construire/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desfiinţare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împreună cu anexele acestora, respectiv actele de respingere a cererii pentru autorizarea executării lucrărilor de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construcţii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, au caracter public. În acest scop, se pun la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dispoziţia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publicului, pe pagina proprie de internet a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autorităţii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administraţiei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publice competente, emitentă, sau prin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afişare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la sediul acesteia listele la zi ale actelor de autoritate emise, în vederea solicitării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obţinerii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, după caz, a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informaţiilor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prevăzute la art. 7 alin. (23) din Lege.</w:t>
            </w: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br/>
              <w:t xml:space="preserve">(2)În temeiul prevederilor art. 7 alin. (22) din Lege, caracterul public al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autorizaţiilor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construire/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desfiinţare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prevăzut la alin. (1) se asigură fără a se aduce atingere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restricţiilor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impuse de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legislaţia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în vigoare privind secretul comercial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industrial, proprietatea intelectuală, protejarea interesului public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privat, garantarea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protejarea drepturilor fundamentale ale persoanelor fizice cu privire la dreptul la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viaţă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intimă, familială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privată.</w:t>
            </w: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br/>
              <w:t xml:space="preserve">(3)Listele la zi ale actelor de autoritate prevăzute la alin. (1) vor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conţine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obligatoriu următoarele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informaţii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/documente extrase din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documentaţia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tehnică autorizată:</w:t>
            </w: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br/>
              <w:t xml:space="preserve">a)numărul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autorizaţiei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construire/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desfiinţare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data emiterii acesteia;</w:t>
            </w: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br/>
              <w:t xml:space="preserve">b)indicatorii urbanistici (procent de ocupare a terenului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coeficient de utilizare a terenului);</w:t>
            </w: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br/>
              <w:t xml:space="preserve">c)regimul de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înălţime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retragerile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construcţiei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 de la limitele de proprietate;</w:t>
            </w: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br/>
              <w:t xml:space="preserve">d)planul de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situaţie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;</w:t>
            </w: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br/>
              <w:t xml:space="preserve">e)toate </w:t>
            </w: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faţadele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.</w:t>
            </w:r>
          </w:p>
        </w:tc>
      </w:tr>
      <w:tr w:rsidR="00E558A3" w:rsidRPr="00E558A3" w:rsidTr="00E558A3">
        <w:trPr>
          <w:trHeight w:val="252"/>
        </w:trPr>
        <w:tc>
          <w:tcPr>
            <w:tcW w:w="8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t xml:space="preserve">Notă: Datorită spațiului limitat, la panoul de afișaj nu se pot prezenta toate datele precizate, însă acestea se pot solicita spre vizualizare la biroul de urbanism. </w:t>
            </w:r>
          </w:p>
        </w:tc>
      </w:tr>
      <w:tr w:rsidR="00E558A3" w:rsidRPr="00E558A3" w:rsidTr="00E558A3">
        <w:trPr>
          <w:trHeight w:val="16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CEE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Nr.Aut</w:t>
            </w:r>
            <w:proofErr w:type="spellEnd"/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CEE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Data AC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indicatori urbanistici (P.O.T., C.U.T)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regimul de înălțime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retragerile construcției de la limitele de proprietate (m)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planul de situație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toate fațadele</w:t>
            </w:r>
          </w:p>
        </w:tc>
      </w:tr>
      <w:tr w:rsidR="00E558A3" w:rsidRPr="00E558A3" w:rsidTr="00E558A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17.02.2021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9,65; 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Conf. Cod civil cu acord vecini (dacă e cazul); S-0,60, D-6,70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E558A3" w:rsidRPr="00E558A3" w:rsidTr="00E558A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26.02.2021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RETEA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Conf. Cod civil cu acord vecini (dacă e cazul);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E558A3" w:rsidRPr="00E558A3" w:rsidTr="00E558A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04.03.2021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48,32; 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Conf. Cod civil cu acord vecini (dacă e cazul); S-7,50; D-2,09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E558A3" w:rsidRPr="00E558A3" w:rsidTr="00E558A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04.03.2021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37,65; 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Conf. Cod civil cu acord vecini (dacă </w:t>
            </w: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lastRenderedPageBreak/>
              <w:t>e cazul); S-20,20, D-2,40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lastRenderedPageBreak/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E558A3" w:rsidRPr="00E558A3" w:rsidTr="00E558A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10.03.2021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2,25; 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Conf. Cod civil cu acord vecini (dacă e cazul); S-1,61; D-6,65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E558A3" w:rsidRPr="00E558A3" w:rsidTr="00E558A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16.03.2021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19,47; 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P+M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Conf. Cod civil cu acord vecini (dacă e cazul); S-1,90, D-3,70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E558A3" w:rsidRPr="00E558A3" w:rsidTr="00E558A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02.04.2021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13,98; 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Conf. Cod civil cu acord vecini (dacă e cazul); S-33,28; D-2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E558A3" w:rsidRPr="00E558A3" w:rsidTr="00E558A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06.04.2021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24,07; 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Conf. Cod civil cu acord vecini (dacă e cazul); S-2, D-3,72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E558A3" w:rsidRPr="00E558A3" w:rsidTr="00E558A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08.04.2021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19,27; 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Conf. Cod civil cu acord vecini (dacă e cazul); s-2, d-1,4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E558A3" w:rsidRPr="00E558A3" w:rsidTr="00E558A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26.04.2021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18,28; 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Conf. Cod civil cu acord vecini (dacă e cazul); s-2, d-2,55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E558A3" w:rsidRPr="00E558A3" w:rsidTr="00E558A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28.04.2021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22,00; 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P+E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Conf. Cod civil cu acord vecini (dacă e cazul);  s-1,35; d-0,3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8A3" w:rsidRPr="00E558A3" w:rsidRDefault="00E558A3" w:rsidP="00E55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E558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bookmarkEnd w:id="0"/>
    </w:tbl>
    <w:p w:rsidR="00A943ED" w:rsidRDefault="00A943ED"/>
    <w:sectPr w:rsidR="00A943ED" w:rsidSect="00E55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A3"/>
    <w:rsid w:val="00A943ED"/>
    <w:rsid w:val="00E5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2AE4F2-76E8-44E6-8152-F93DDEAD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A117-5791-4CD5-8522-7B177E2E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Roxana Madalina</dc:creator>
  <cp:keywords/>
  <dc:description/>
  <cp:lastModifiedBy>Veres Roxana Madalina</cp:lastModifiedBy>
  <cp:revision>1</cp:revision>
  <dcterms:created xsi:type="dcterms:W3CDTF">2021-05-10T10:10:00Z</dcterms:created>
  <dcterms:modified xsi:type="dcterms:W3CDTF">2021-05-10T10:11:00Z</dcterms:modified>
</cp:coreProperties>
</file>